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MODULE 3 EXERCISE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- Competitor Analysis -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b w:val="1"/>
          <w:color w:val="59595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 Think about the main thing you are helping your customer to do. Write it down: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widowControl w:val="0"/>
        <w:spacing w:after="320" w:line="240" w:lineRule="auto"/>
        <w:rPr>
          <w:rFonts w:ascii="Helvetica Neue" w:cs="Helvetica Neue" w:eastAsia="Helvetica Neue" w:hAnsi="Helvetica Neue"/>
          <w:color w:val="59595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color w:val="59595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2. Now, answer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2.1. How are your customers presently solving this need or problem (this would be a list of all your indirect and direct competitors)?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2.2. Why are these solutions not satisfactory?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2.3.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What are the switching costs for the customer?</w:t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0" w:firstLine="0"/>
        <w:rPr>
          <w:rFonts w:ascii="Roboto" w:cs="Roboto" w:eastAsia="Roboto" w:hAnsi="Roboto"/>
          <w:color w:val="3c404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highlight w:val="white"/>
          <w:rtl w:val="0"/>
        </w:rPr>
        <w:t xml:space="preserve">"Switching costs are the the costs for a customer to change from what they're already using to your product offering -- these costs can include money, time, and new knowledge or relationships that they have to invest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3. Now, revisit some of the ways your business is valuable to your customer or your star qualities (that you identified in the value proposition worksheet).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Write these down as benefits in each of the columns. Enter your business name in the first row and at least 3 direct competitors under this. Then, complete the competitor analysis table: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ffffff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  <w:rtl w:val="0"/>
              </w:rPr>
              <w:t xml:space="preserve">Competitor or Alternative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  <w:rtl w:val="0"/>
              </w:rPr>
              <w:t xml:space="preserve">Benefit 1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  <w:rtl w:val="0"/>
              </w:rPr>
              <w:t xml:space="preserve">Benefit 2</w:t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  <w:rtl w:val="0"/>
              </w:rPr>
              <w:t xml:space="preserve">Benefit 3</w:t>
            </w:r>
          </w:p>
        </w:tc>
        <w:tc>
          <w:tcPr>
            <w:tcBorders>
              <w:left w:color="ffffff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4"/>
                <w:szCs w:val="24"/>
                <w:rtl w:val="0"/>
              </w:rPr>
              <w:t xml:space="preserve">Benefit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b7b7b7"/>
                <w:sz w:val="20"/>
                <w:szCs w:val="20"/>
                <w:rtl w:val="0"/>
              </w:rPr>
              <w:t xml:space="preserve">Your company: 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Once you are happy with your competitor analysis, you can write your top competitors under “Other Solutions”. </w:t>
      </w:r>
    </w:p>
    <w:p w:rsidR="00000000" w:rsidDel="00000000" w:rsidP="00000000" w:rsidRDefault="00000000" w:rsidRPr="00000000" w14:paraId="0000004C">
      <w:pPr>
        <w:pageBreakBefore w:val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You might need to spend some time on Google and speaking to potential customers after the Bootcamp to build out your competitor analysis.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2033588</wp:posOffset>
          </wp:positionH>
          <wp:positionV relativeFrom="paragraph">
            <wp:posOffset>104777</wp:posOffset>
          </wp:positionV>
          <wp:extent cx="1871663" cy="842963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842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N1PmZ8Rc0Dg6hZd/C+PbwQfKg==">AMUW2mUrlKa+KgrFm0RvlTTSfp0z3wUdclCKX9/an6pn8o/Mqt4CyhB/Q3ECu65xiJa0lHOJ4d8AG85wFALISBNCrq9l64paTH+m2aIi1znygDCYFVyreaY=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